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5BD6" w14:textId="77777777" w:rsidR="00146F30" w:rsidRPr="00126D70" w:rsidRDefault="00A91B61" w:rsidP="007E2BFE">
      <w:pPr>
        <w:jc w:val="center"/>
        <w:rPr>
          <w:rFonts w:ascii="Arial" w:hAnsi="Arial" w:cs="Arial"/>
          <w:b/>
          <w:lang w:val="es-MX"/>
        </w:rPr>
      </w:pPr>
      <w:r w:rsidRPr="00126D70">
        <w:rPr>
          <w:rFonts w:ascii="Arial" w:hAnsi="Arial" w:cs="Arial"/>
          <w:b/>
          <w:lang w:val="es-MX"/>
        </w:rPr>
        <w:t>Registro sanitario indefinido, la novedad del Decreto 1474 de 2023.</w:t>
      </w:r>
    </w:p>
    <w:p w14:paraId="7BAEFD6D" w14:textId="0917CC7F" w:rsidR="00350387" w:rsidRDefault="00350387" w:rsidP="007E2BFE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derecho a la salud ha sido reconocido reiteradamente, vía jurisprudencial</w:t>
      </w:r>
      <w:r>
        <w:rPr>
          <w:rStyle w:val="Refdenotaalpie"/>
          <w:rFonts w:ascii="Arial" w:hAnsi="Arial" w:cs="Arial"/>
          <w:lang w:val="es-MX"/>
        </w:rPr>
        <w:footnoteReference w:id="1"/>
      </w:r>
      <w:r>
        <w:rPr>
          <w:rFonts w:ascii="Arial" w:hAnsi="Arial" w:cs="Arial"/>
          <w:lang w:val="es-MX"/>
        </w:rPr>
        <w:t>, como de carácter fundamental. Así, la Corte Constitucional ha dicho que este derecho debe prestarse de manera eficiente y con calidad</w:t>
      </w:r>
      <w:r w:rsidR="00E31997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E</w:t>
      </w:r>
      <w:r w:rsidR="005D1D5D">
        <w:rPr>
          <w:rFonts w:ascii="Arial" w:hAnsi="Arial" w:cs="Arial"/>
          <w:lang w:val="es-MX"/>
        </w:rPr>
        <w:t xml:space="preserve">ntre otros </w:t>
      </w:r>
      <w:r w:rsidR="00CF7822">
        <w:rPr>
          <w:rFonts w:ascii="Arial" w:hAnsi="Arial" w:cs="Arial"/>
          <w:lang w:val="es-MX"/>
        </w:rPr>
        <w:t>aspectos, dicha</w:t>
      </w:r>
      <w:r w:rsidR="005D1D5D">
        <w:rPr>
          <w:rFonts w:ascii="Arial" w:hAnsi="Arial" w:cs="Arial"/>
          <w:lang w:val="es-MX"/>
        </w:rPr>
        <w:t xml:space="preserve"> eficiencia </w:t>
      </w:r>
      <w:r>
        <w:rPr>
          <w:rFonts w:ascii="Arial" w:hAnsi="Arial" w:cs="Arial"/>
          <w:lang w:val="es-MX"/>
        </w:rPr>
        <w:t xml:space="preserve">debe verse reflejada en </w:t>
      </w:r>
      <w:r w:rsidR="00E31997">
        <w:rPr>
          <w:rFonts w:ascii="Arial" w:hAnsi="Arial" w:cs="Arial"/>
          <w:lang w:val="es-MX"/>
        </w:rPr>
        <w:t>el acceso</w:t>
      </w:r>
      <w:r w:rsidR="005D1D5D">
        <w:rPr>
          <w:rFonts w:ascii="Arial" w:hAnsi="Arial" w:cs="Arial"/>
          <w:lang w:val="es-MX"/>
        </w:rPr>
        <w:t xml:space="preserve"> oportun</w:t>
      </w:r>
      <w:r w:rsidR="00E31997">
        <w:rPr>
          <w:rFonts w:ascii="Arial" w:hAnsi="Arial" w:cs="Arial"/>
          <w:lang w:val="es-MX"/>
        </w:rPr>
        <w:t xml:space="preserve">o a los medicamentos </w:t>
      </w:r>
      <w:r w:rsidR="005D1D5D">
        <w:rPr>
          <w:rFonts w:ascii="Arial" w:hAnsi="Arial" w:cs="Arial"/>
          <w:lang w:val="es-MX"/>
        </w:rPr>
        <w:t>por parte de</w:t>
      </w:r>
      <w:r w:rsidR="00E31997">
        <w:rPr>
          <w:rFonts w:ascii="Arial" w:hAnsi="Arial" w:cs="Arial"/>
          <w:lang w:val="es-MX"/>
        </w:rPr>
        <w:t xml:space="preserve"> la población</w:t>
      </w:r>
      <w:r w:rsidR="005D1D5D">
        <w:rPr>
          <w:rFonts w:ascii="Arial" w:hAnsi="Arial" w:cs="Arial"/>
          <w:lang w:val="es-MX"/>
        </w:rPr>
        <w:t xml:space="preserve">. </w:t>
      </w:r>
    </w:p>
    <w:p w14:paraId="033D32E4" w14:textId="2352E64F" w:rsidR="00083FF4" w:rsidRDefault="0042580C" w:rsidP="007E2BFE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Previo a reflexionar sobre </w:t>
      </w:r>
      <w:r w:rsidR="007E2BFE">
        <w:rPr>
          <w:rFonts w:ascii="Arial" w:hAnsi="Arial" w:cs="Arial"/>
          <w:lang w:val="es-MX"/>
        </w:rPr>
        <w:t xml:space="preserve">el contenido </w:t>
      </w:r>
      <w:r w:rsidR="00C77BDC">
        <w:rPr>
          <w:rFonts w:ascii="Arial" w:hAnsi="Arial" w:cs="Arial"/>
          <w:lang w:val="es-MX"/>
        </w:rPr>
        <w:t xml:space="preserve">y alcance </w:t>
      </w:r>
      <w:r w:rsidR="007E2BFE">
        <w:rPr>
          <w:rFonts w:ascii="Arial" w:hAnsi="Arial" w:cs="Arial"/>
          <w:lang w:val="es-MX"/>
        </w:rPr>
        <w:t>del Decreto 1474 de 2023</w:t>
      </w:r>
      <w:r w:rsidR="007E2BFE" w:rsidRPr="007E2BFE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puntualmente con relación al</w:t>
      </w:r>
      <w:r w:rsidR="007E2BFE">
        <w:rPr>
          <w:rFonts w:ascii="Arial" w:hAnsi="Arial" w:cs="Arial"/>
          <w:lang w:val="es-MX"/>
        </w:rPr>
        <w:t xml:space="preserve"> novedoso carácter indefinido del registro sanitario en Colombia, </w:t>
      </w:r>
      <w:r w:rsidR="007E2BFE" w:rsidRPr="007E2BFE">
        <w:rPr>
          <w:rFonts w:ascii="Arial" w:hAnsi="Arial" w:cs="Arial"/>
          <w:lang w:val="es-MX"/>
        </w:rPr>
        <w:t>convi</w:t>
      </w:r>
      <w:r>
        <w:rPr>
          <w:rFonts w:ascii="Arial" w:hAnsi="Arial" w:cs="Arial"/>
          <w:lang w:val="es-MX"/>
        </w:rPr>
        <w:t xml:space="preserve">ene precisar la definición de este último </w:t>
      </w:r>
      <w:r w:rsidR="007E2BFE">
        <w:rPr>
          <w:rFonts w:ascii="Arial" w:hAnsi="Arial" w:cs="Arial"/>
          <w:lang w:val="es-MX"/>
        </w:rPr>
        <w:t>concepto</w:t>
      </w:r>
      <w:r w:rsidR="007E2BFE" w:rsidRPr="007E2BFE">
        <w:rPr>
          <w:rFonts w:ascii="Arial" w:hAnsi="Arial" w:cs="Arial"/>
          <w:lang w:val="es-MX"/>
        </w:rPr>
        <w:t>. En ese sentido,</w:t>
      </w:r>
      <w:r w:rsidR="007E2BFE">
        <w:rPr>
          <w:rFonts w:ascii="Arial" w:hAnsi="Arial" w:cs="Arial"/>
          <w:lang w:val="es-MX"/>
        </w:rPr>
        <w:t xml:space="preserve"> </w:t>
      </w:r>
      <w:r w:rsidR="007E2BFE" w:rsidRPr="007E2BFE">
        <w:rPr>
          <w:rFonts w:ascii="Arial" w:hAnsi="Arial" w:cs="Arial"/>
          <w:lang w:val="es-MX"/>
        </w:rPr>
        <w:t>este registro hace alusión al documento expedido por la autoridad sanitaria competente, mediante el cual se autoriza a una persona natural o jurídica para fabricar</w:t>
      </w:r>
      <w:r w:rsidR="00E31997">
        <w:rPr>
          <w:rFonts w:ascii="Arial" w:hAnsi="Arial" w:cs="Arial"/>
          <w:lang w:val="es-MX"/>
        </w:rPr>
        <w:t xml:space="preserve">, </w:t>
      </w:r>
      <w:proofErr w:type="spellStart"/>
      <w:r w:rsidR="00E31997">
        <w:rPr>
          <w:rFonts w:ascii="Arial" w:hAnsi="Arial" w:cs="Arial"/>
          <w:lang w:val="es-MX"/>
        </w:rPr>
        <w:t>semielaborar</w:t>
      </w:r>
      <w:proofErr w:type="spellEnd"/>
      <w:r w:rsidR="00E31997">
        <w:rPr>
          <w:rFonts w:ascii="Arial" w:hAnsi="Arial" w:cs="Arial"/>
          <w:lang w:val="es-MX"/>
        </w:rPr>
        <w:t xml:space="preserve"> y/o comercializar bajo diversas modalidades, productos de interés del régimen sanitario, como lo son los medicamentos</w:t>
      </w:r>
      <w:r w:rsidR="00BF5E19">
        <w:rPr>
          <w:rFonts w:ascii="Arial" w:hAnsi="Arial" w:cs="Arial"/>
          <w:lang w:val="es-MX"/>
        </w:rPr>
        <w:t xml:space="preserve">. </w:t>
      </w:r>
      <w:r w:rsidR="00083FF4">
        <w:rPr>
          <w:rFonts w:ascii="Arial" w:hAnsi="Arial" w:cs="Arial"/>
          <w:lang w:val="es-MX"/>
        </w:rPr>
        <w:t>Entiéndase p</w:t>
      </w:r>
      <w:r w:rsidR="00083FF4" w:rsidRPr="00083FF4">
        <w:rPr>
          <w:rFonts w:ascii="Arial" w:hAnsi="Arial" w:cs="Arial"/>
          <w:lang w:val="es-MX"/>
        </w:rPr>
        <w:t xml:space="preserve">or autoridad </w:t>
      </w:r>
      <w:r w:rsidR="00083FF4">
        <w:rPr>
          <w:rFonts w:ascii="Arial" w:hAnsi="Arial" w:cs="Arial"/>
          <w:lang w:val="es-MX"/>
        </w:rPr>
        <w:t xml:space="preserve">sanitaria competente, </w:t>
      </w:r>
      <w:r w:rsidR="00083FF4" w:rsidRPr="00083FF4">
        <w:rPr>
          <w:rFonts w:ascii="Arial" w:hAnsi="Arial" w:cs="Arial"/>
          <w:lang w:val="es-MX"/>
        </w:rPr>
        <w:t xml:space="preserve">al </w:t>
      </w:r>
      <w:r w:rsidR="00083FF4">
        <w:rPr>
          <w:rFonts w:ascii="Arial" w:hAnsi="Arial" w:cs="Arial"/>
          <w:lang w:val="es-MX"/>
        </w:rPr>
        <w:t>Invima</w:t>
      </w:r>
      <w:r w:rsidR="00083FF4" w:rsidRPr="00083FF4">
        <w:rPr>
          <w:rFonts w:ascii="Arial" w:hAnsi="Arial" w:cs="Arial"/>
          <w:lang w:val="es-MX"/>
        </w:rPr>
        <w:t xml:space="preserve"> y, </w:t>
      </w:r>
      <w:r w:rsidR="00083FF4">
        <w:rPr>
          <w:rFonts w:ascii="Arial" w:hAnsi="Arial" w:cs="Arial"/>
          <w:lang w:val="es-MX"/>
        </w:rPr>
        <w:t xml:space="preserve">además, </w:t>
      </w:r>
      <w:r w:rsidR="00083FF4" w:rsidRPr="00083FF4">
        <w:rPr>
          <w:rFonts w:ascii="Arial" w:hAnsi="Arial" w:cs="Arial"/>
          <w:lang w:val="es-MX"/>
        </w:rPr>
        <w:t>a las Direcciones Territoriales de Salud</w:t>
      </w:r>
      <w:r w:rsidR="00083FF4">
        <w:rPr>
          <w:rFonts w:ascii="Arial" w:hAnsi="Arial" w:cs="Arial"/>
          <w:lang w:val="es-MX"/>
        </w:rPr>
        <w:t xml:space="preserve"> que</w:t>
      </w:r>
      <w:r w:rsidR="00083FF4" w:rsidRPr="00083FF4">
        <w:rPr>
          <w:rFonts w:ascii="Arial" w:hAnsi="Arial" w:cs="Arial"/>
          <w:lang w:val="es-MX"/>
        </w:rPr>
        <w:t xml:space="preserve"> ejercen funciones de inspección, vigilancia y control</w:t>
      </w:r>
      <w:r w:rsidR="00083FF4">
        <w:rPr>
          <w:rFonts w:ascii="Arial" w:hAnsi="Arial" w:cs="Arial"/>
          <w:lang w:val="es-MX"/>
        </w:rPr>
        <w:t xml:space="preserve"> según el mandato de la Ley. </w:t>
      </w:r>
    </w:p>
    <w:p w14:paraId="5DD604B5" w14:textId="77777777" w:rsidR="00F47639" w:rsidRDefault="00350387" w:rsidP="007E2BFE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norma principal</w:t>
      </w:r>
      <w:r w:rsidR="00DD350B">
        <w:rPr>
          <w:rFonts w:ascii="Arial" w:hAnsi="Arial" w:cs="Arial"/>
          <w:lang w:val="es-MX"/>
        </w:rPr>
        <w:t xml:space="preserve"> y sobre la cual emerge posteriormente </w:t>
      </w:r>
      <w:r w:rsidR="00F33F28">
        <w:rPr>
          <w:rFonts w:ascii="Arial" w:hAnsi="Arial" w:cs="Arial"/>
          <w:lang w:val="es-MX"/>
        </w:rPr>
        <w:t>el Decreto 1474 de 2023</w:t>
      </w:r>
      <w:r w:rsidR="00DD350B">
        <w:rPr>
          <w:rFonts w:ascii="Arial" w:hAnsi="Arial" w:cs="Arial"/>
          <w:lang w:val="es-MX"/>
        </w:rPr>
        <w:t>,</w:t>
      </w:r>
      <w:r w:rsidR="00F33F28">
        <w:rPr>
          <w:rFonts w:ascii="Arial" w:hAnsi="Arial" w:cs="Arial"/>
          <w:lang w:val="es-MX"/>
        </w:rPr>
        <w:t xml:space="preserve"> es el Decreto 33</w:t>
      </w:r>
      <w:r w:rsidR="00C77BDC">
        <w:rPr>
          <w:rFonts w:ascii="Arial" w:hAnsi="Arial" w:cs="Arial"/>
          <w:lang w:val="es-MX"/>
        </w:rPr>
        <w:t>4 de 2022. Mediante este último</w:t>
      </w:r>
      <w:r w:rsidR="00F33F28">
        <w:rPr>
          <w:rFonts w:ascii="Arial" w:hAnsi="Arial" w:cs="Arial"/>
          <w:lang w:val="es-MX"/>
        </w:rPr>
        <w:t xml:space="preserve">, </w:t>
      </w:r>
      <w:r w:rsidR="00F33F28" w:rsidRPr="00F33F28">
        <w:rPr>
          <w:rFonts w:ascii="Arial" w:hAnsi="Arial" w:cs="Arial"/>
          <w:lang w:val="es-MX"/>
        </w:rPr>
        <w:t xml:space="preserve">se establecen disposiciones para la renovación, modificación y suspensión de registros sanitarios de medicamentos de síntesis química, gases medicinales, biológicos y homeopáticos; de información y publicidad de medicamentos y productos </w:t>
      </w:r>
      <w:r w:rsidR="00F33F28">
        <w:rPr>
          <w:rFonts w:ascii="Arial" w:hAnsi="Arial" w:cs="Arial"/>
          <w:lang w:val="es-MX"/>
        </w:rPr>
        <w:t>fito</w:t>
      </w:r>
      <w:r w:rsidR="00F33F28" w:rsidRPr="00F33F28">
        <w:rPr>
          <w:rFonts w:ascii="Arial" w:hAnsi="Arial" w:cs="Arial"/>
          <w:lang w:val="es-MX"/>
        </w:rPr>
        <w:t>terapéuticos; de adopción de medidas para garantizar el abastecimiento de medicamentos de síntesis química,</w:t>
      </w:r>
      <w:r w:rsidR="00F33F28">
        <w:rPr>
          <w:rFonts w:ascii="Arial" w:hAnsi="Arial" w:cs="Arial"/>
          <w:lang w:val="es-MX"/>
        </w:rPr>
        <w:t xml:space="preserve"> gases medicinales y biológi</w:t>
      </w:r>
      <w:r w:rsidR="00C77BDC">
        <w:rPr>
          <w:rFonts w:ascii="Arial" w:hAnsi="Arial" w:cs="Arial"/>
          <w:lang w:val="es-MX"/>
        </w:rPr>
        <w:t xml:space="preserve">cos, entre otras disposiciones. Este decreto del 2022 tiene como propósito fundamental la simplificación de los trámites y en general, </w:t>
      </w:r>
      <w:r w:rsidR="00F33F28">
        <w:rPr>
          <w:rFonts w:ascii="Arial" w:hAnsi="Arial" w:cs="Arial"/>
          <w:lang w:val="es-MX"/>
        </w:rPr>
        <w:t>la eficiencia</w:t>
      </w:r>
      <w:r w:rsidR="00C77BDC">
        <w:rPr>
          <w:rFonts w:ascii="Arial" w:hAnsi="Arial" w:cs="Arial"/>
          <w:lang w:val="es-MX"/>
        </w:rPr>
        <w:t xml:space="preserve"> en </w:t>
      </w:r>
      <w:r w:rsidR="00F33F28">
        <w:rPr>
          <w:rFonts w:ascii="Arial" w:hAnsi="Arial" w:cs="Arial"/>
          <w:lang w:val="es-MX"/>
        </w:rPr>
        <w:t xml:space="preserve">el </w:t>
      </w:r>
      <w:r w:rsidR="00C77BDC">
        <w:rPr>
          <w:rFonts w:ascii="Arial" w:hAnsi="Arial" w:cs="Arial"/>
          <w:lang w:val="es-MX"/>
        </w:rPr>
        <w:t xml:space="preserve">abastecimiento y </w:t>
      </w:r>
      <w:r w:rsidR="00F33F28">
        <w:rPr>
          <w:rFonts w:ascii="Arial" w:hAnsi="Arial" w:cs="Arial"/>
          <w:lang w:val="es-MX"/>
        </w:rPr>
        <w:t xml:space="preserve">suministro de medicamentos en nuestro territorio. </w:t>
      </w:r>
    </w:p>
    <w:p w14:paraId="48250A7C" w14:textId="77777777" w:rsidR="00B02E66" w:rsidRDefault="00B566F9" w:rsidP="007E2BFE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Ahora bien, la entrada en vigor del</w:t>
      </w:r>
      <w:r w:rsidR="00C77BDC">
        <w:rPr>
          <w:rFonts w:ascii="Arial" w:hAnsi="Arial" w:cs="Arial"/>
          <w:lang w:val="es-MX"/>
        </w:rPr>
        <w:t xml:space="preserve"> Decreto 334 de 2022 </w:t>
      </w:r>
      <w:r>
        <w:rPr>
          <w:rFonts w:ascii="Arial" w:hAnsi="Arial" w:cs="Arial"/>
          <w:lang w:val="es-MX"/>
        </w:rPr>
        <w:t xml:space="preserve">quedó sujeta a la elaboración de unas guías para que se implementara de forma correcta. </w:t>
      </w:r>
      <w:r w:rsidR="00A91B61">
        <w:rPr>
          <w:rFonts w:ascii="Arial" w:hAnsi="Arial" w:cs="Arial"/>
          <w:lang w:val="es-MX"/>
        </w:rPr>
        <w:t>No obstante, a</w:t>
      </w:r>
      <w:r>
        <w:rPr>
          <w:rFonts w:ascii="Arial" w:hAnsi="Arial" w:cs="Arial"/>
          <w:lang w:val="es-MX"/>
        </w:rPr>
        <w:t>nte el intento infructuoso del Invima el año pa</w:t>
      </w:r>
      <w:r w:rsidR="00A91B61">
        <w:rPr>
          <w:rFonts w:ascii="Arial" w:hAnsi="Arial" w:cs="Arial"/>
          <w:lang w:val="es-MX"/>
        </w:rPr>
        <w:t>sado para el desarrollo de estas</w:t>
      </w:r>
      <w:r>
        <w:rPr>
          <w:rFonts w:ascii="Arial" w:hAnsi="Arial" w:cs="Arial"/>
          <w:lang w:val="es-MX"/>
        </w:rPr>
        <w:t xml:space="preserve"> guías, para esta anualidad</w:t>
      </w:r>
      <w:r w:rsidRPr="00B566F9">
        <w:rPr>
          <w:rFonts w:ascii="Arial" w:hAnsi="Arial" w:cs="Arial"/>
          <w:lang w:val="es-MX"/>
        </w:rPr>
        <w:t xml:space="preserve"> el</w:t>
      </w:r>
      <w:r w:rsidR="00A91B61">
        <w:rPr>
          <w:rFonts w:ascii="Arial" w:hAnsi="Arial" w:cs="Arial"/>
          <w:lang w:val="es-MX"/>
        </w:rPr>
        <w:t xml:space="preserve"> Ministerio de Salud asumió su desarrollo </w:t>
      </w:r>
      <w:r>
        <w:rPr>
          <w:rFonts w:ascii="Arial" w:hAnsi="Arial" w:cs="Arial"/>
          <w:lang w:val="es-MX"/>
        </w:rPr>
        <w:t>de la mano</w:t>
      </w:r>
      <w:r w:rsidRPr="00B566F9">
        <w:rPr>
          <w:rFonts w:ascii="Arial" w:hAnsi="Arial" w:cs="Arial"/>
          <w:lang w:val="es-MX"/>
        </w:rPr>
        <w:t xml:space="preserve"> con la industria. </w:t>
      </w:r>
      <w:r>
        <w:rPr>
          <w:rFonts w:ascii="Arial" w:hAnsi="Arial" w:cs="Arial"/>
          <w:lang w:val="es-MX"/>
        </w:rPr>
        <w:t>Fue a</w:t>
      </w:r>
      <w:r w:rsidR="00A91B61">
        <w:rPr>
          <w:rFonts w:ascii="Arial" w:hAnsi="Arial" w:cs="Arial"/>
          <w:lang w:val="es-MX"/>
        </w:rPr>
        <w:t xml:space="preserve">sí como esta cartera </w:t>
      </w:r>
      <w:r>
        <w:rPr>
          <w:rFonts w:ascii="Arial" w:hAnsi="Arial" w:cs="Arial"/>
          <w:lang w:val="es-MX"/>
        </w:rPr>
        <w:t>empezó a proferir decretos con el fin de</w:t>
      </w:r>
      <w:r w:rsidRPr="00B566F9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poner en marcha aquellos</w:t>
      </w:r>
      <w:r w:rsidRPr="00B566F9">
        <w:rPr>
          <w:rFonts w:ascii="Arial" w:hAnsi="Arial" w:cs="Arial"/>
          <w:lang w:val="es-MX"/>
        </w:rPr>
        <w:t xml:space="preserve"> tram</w:t>
      </w:r>
      <w:r>
        <w:rPr>
          <w:rFonts w:ascii="Arial" w:hAnsi="Arial" w:cs="Arial"/>
          <w:lang w:val="es-MX"/>
        </w:rPr>
        <w:t>ites incluidos en la norma principal.</w:t>
      </w:r>
    </w:p>
    <w:p w14:paraId="767F7037" w14:textId="39B1BD85" w:rsidR="00C77BDC" w:rsidRDefault="00B566F9" w:rsidP="007E2BFE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Dentro de esa normatividad, como ya se anticipó, está el Decreto 1474 de 2023. Esta norma</w:t>
      </w:r>
      <w:r w:rsidR="00A91B61">
        <w:rPr>
          <w:rFonts w:ascii="Arial" w:hAnsi="Arial" w:cs="Arial"/>
          <w:lang w:val="es-MX"/>
        </w:rPr>
        <w:t xml:space="preserve">, dentro de sus novedades </w:t>
      </w:r>
      <w:r>
        <w:rPr>
          <w:rFonts w:ascii="Arial" w:hAnsi="Arial" w:cs="Arial"/>
          <w:lang w:val="es-MX"/>
        </w:rPr>
        <w:t xml:space="preserve">más relevantes, </w:t>
      </w:r>
      <w:r w:rsidR="00A91B61">
        <w:rPr>
          <w:rFonts w:ascii="Arial" w:hAnsi="Arial" w:cs="Arial"/>
          <w:lang w:val="es-MX"/>
        </w:rPr>
        <w:t>modifica</w:t>
      </w:r>
      <w:r>
        <w:rPr>
          <w:rFonts w:ascii="Arial" w:hAnsi="Arial" w:cs="Arial"/>
          <w:lang w:val="es-MX"/>
        </w:rPr>
        <w:t xml:space="preserve"> el término de vigencia del registro sanitario de los medicamentos</w:t>
      </w:r>
      <w:r w:rsidR="00B02E66">
        <w:rPr>
          <w:rFonts w:ascii="Arial" w:hAnsi="Arial" w:cs="Arial"/>
          <w:lang w:val="es-MX"/>
        </w:rPr>
        <w:t xml:space="preserve"> el cual pasará a ser indefinido y que tal beneficio aplica incluso para los medicamentos que ya cuentan con registro sanitario.</w:t>
      </w:r>
      <w:r>
        <w:rPr>
          <w:rFonts w:ascii="Arial" w:hAnsi="Arial" w:cs="Arial"/>
          <w:lang w:val="es-MX"/>
        </w:rPr>
        <w:t xml:space="preserve"> </w:t>
      </w:r>
    </w:p>
    <w:p w14:paraId="1200E45F" w14:textId="72C07C51" w:rsidR="00A91B61" w:rsidRPr="00A91B61" w:rsidRDefault="006969A6" w:rsidP="00A91B61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Sin perjuicio de lo anterior, este artículo también dispone que </w:t>
      </w:r>
      <w:r w:rsidR="00A91B61">
        <w:rPr>
          <w:rFonts w:ascii="Arial" w:hAnsi="Arial" w:cs="Arial"/>
          <w:lang w:val="es-MX"/>
        </w:rPr>
        <w:t>“</w:t>
      </w:r>
      <w:r w:rsidR="00A91B61" w:rsidRPr="00A91B61">
        <w:rPr>
          <w:rFonts w:ascii="Arial" w:hAnsi="Arial" w:cs="Arial"/>
          <w:lang w:val="es-MX"/>
        </w:rPr>
        <w:t xml:space="preserve">El otorgamiento de la vigencia indefinida no impide que el Invima o la autoridad correspondiente, en ejercicio de las funciones de inspección, vigilancia y control, adopte las medidas necesarias al encontrar </w:t>
      </w:r>
      <w:r w:rsidR="00A91B61" w:rsidRPr="00A91B61">
        <w:rPr>
          <w:rFonts w:ascii="Arial" w:hAnsi="Arial" w:cs="Arial"/>
          <w:lang w:val="es-MX"/>
        </w:rPr>
        <w:lastRenderedPageBreak/>
        <w:t>un incumplimiento de las normas técnicas que regulan la materia o identificar que existe un riesgo sanitario asociado a la farmacovigilancia durante el uso del medicamento.</w:t>
      </w:r>
      <w:r w:rsidR="00A91B61">
        <w:rPr>
          <w:rFonts w:ascii="Arial" w:hAnsi="Arial" w:cs="Arial"/>
          <w:lang w:val="es-MX"/>
        </w:rPr>
        <w:t>”</w:t>
      </w:r>
    </w:p>
    <w:p w14:paraId="4745C3B0" w14:textId="5D6E29EF" w:rsidR="00A91B61" w:rsidRDefault="00BF5E19" w:rsidP="00A91B61">
      <w:pPr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eficiencia es uno de los pilares medulares del sistema de salud en Col</w:t>
      </w:r>
      <w:r w:rsidR="00CF7822">
        <w:rPr>
          <w:rFonts w:ascii="Arial" w:hAnsi="Arial" w:cs="Arial"/>
          <w:lang w:val="es-MX"/>
        </w:rPr>
        <w:t xml:space="preserve">ombia, por lo que </w:t>
      </w:r>
      <w:r>
        <w:rPr>
          <w:rFonts w:ascii="Arial" w:hAnsi="Arial" w:cs="Arial"/>
          <w:lang w:val="es-MX"/>
        </w:rPr>
        <w:t xml:space="preserve">suprimir un trámite de renovación que era a todas luces </w:t>
      </w:r>
      <w:r w:rsidR="00CF7822">
        <w:rPr>
          <w:rFonts w:ascii="Arial" w:hAnsi="Arial" w:cs="Arial"/>
          <w:lang w:val="es-MX"/>
        </w:rPr>
        <w:t xml:space="preserve">demorado, engorroso y </w:t>
      </w:r>
      <w:r>
        <w:rPr>
          <w:rFonts w:ascii="Arial" w:hAnsi="Arial" w:cs="Arial"/>
          <w:lang w:val="es-MX"/>
        </w:rPr>
        <w:t xml:space="preserve">prescindible, no es más que una forma de materializar dicho pilar. </w:t>
      </w:r>
    </w:p>
    <w:p w14:paraId="5A711319" w14:textId="77777777" w:rsidR="00BF5E19" w:rsidRDefault="00BF5E19" w:rsidP="00A91B61">
      <w:pPr>
        <w:spacing w:line="276" w:lineRule="auto"/>
        <w:jc w:val="both"/>
        <w:rPr>
          <w:rFonts w:ascii="Arial" w:hAnsi="Arial" w:cs="Arial"/>
          <w:lang w:val="es-MX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1276444131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14:paraId="3EF68FF5" w14:textId="77777777" w:rsidR="006969A6" w:rsidRPr="006969A6" w:rsidRDefault="006969A6">
          <w:pPr>
            <w:pStyle w:val="Ttulo1"/>
            <w:rPr>
              <w:lang w:val="es-MX"/>
            </w:rPr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14:paraId="13FD76BC" w14:textId="77777777" w:rsidR="006969A6" w:rsidRDefault="006969A6" w:rsidP="006969A6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 w:rsidRPr="006969A6">
                <w:rPr>
                  <w:lang w:val="es-MX"/>
                </w:rP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Invima. (2023). </w:t>
              </w:r>
              <w:r>
                <w:rPr>
                  <w:i/>
                  <w:iCs/>
                  <w:noProof/>
                  <w:lang w:val="es-ES"/>
                </w:rPr>
                <w:t>Invima</w:t>
              </w:r>
              <w:r>
                <w:rPr>
                  <w:noProof/>
                  <w:lang w:val="es-ES"/>
                </w:rPr>
                <w:t>. Obtenido de https://www.invima.gov.co/web/guest/glosario-de-terminos</w:t>
              </w:r>
            </w:p>
            <w:p w14:paraId="7DC0BDC5" w14:textId="77777777" w:rsidR="006969A6" w:rsidRDefault="006969A6" w:rsidP="006969A6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663D2699" w14:textId="77777777" w:rsidR="006969A6" w:rsidRPr="006969A6" w:rsidRDefault="006969A6" w:rsidP="00A91B61">
      <w:pPr>
        <w:spacing w:line="276" w:lineRule="auto"/>
        <w:jc w:val="both"/>
        <w:rPr>
          <w:rFonts w:ascii="Arial" w:hAnsi="Arial" w:cs="Arial"/>
          <w:lang w:val="es-MX"/>
        </w:rPr>
      </w:pPr>
    </w:p>
    <w:p w14:paraId="52FEBB7C" w14:textId="77777777" w:rsidR="00B566F9" w:rsidRPr="00B566F9" w:rsidRDefault="00B566F9" w:rsidP="007E2BFE">
      <w:pPr>
        <w:spacing w:line="276" w:lineRule="auto"/>
        <w:jc w:val="both"/>
        <w:rPr>
          <w:rFonts w:ascii="Arial" w:hAnsi="Arial" w:cs="Arial"/>
          <w:lang w:val="es-MX"/>
        </w:rPr>
      </w:pPr>
    </w:p>
    <w:p w14:paraId="116B6036" w14:textId="77777777" w:rsidR="007E2BFE" w:rsidRPr="007E2BFE" w:rsidRDefault="007E2BFE" w:rsidP="00083FF4">
      <w:pPr>
        <w:rPr>
          <w:b/>
          <w:sz w:val="24"/>
          <w:lang w:val="es-MX"/>
        </w:rPr>
      </w:pPr>
    </w:p>
    <w:p w14:paraId="5F56BB20" w14:textId="77777777" w:rsidR="007E2BFE" w:rsidRPr="007E2BFE" w:rsidRDefault="007E2BFE" w:rsidP="007E2BFE">
      <w:pPr>
        <w:jc w:val="center"/>
        <w:rPr>
          <w:b/>
          <w:sz w:val="24"/>
          <w:lang w:val="es-MX"/>
        </w:rPr>
      </w:pPr>
    </w:p>
    <w:sectPr w:rsidR="007E2BFE" w:rsidRPr="007E2BF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B26D" w14:textId="77777777" w:rsidR="00105746" w:rsidRDefault="00105746" w:rsidP="00350387">
      <w:pPr>
        <w:spacing w:after="0" w:line="240" w:lineRule="auto"/>
      </w:pPr>
      <w:r>
        <w:separator/>
      </w:r>
    </w:p>
  </w:endnote>
  <w:endnote w:type="continuationSeparator" w:id="0">
    <w:p w14:paraId="522A65FE" w14:textId="77777777" w:rsidR="00105746" w:rsidRDefault="00105746" w:rsidP="0035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125276"/>
      <w:docPartObj>
        <w:docPartGallery w:val="Page Numbers (Bottom of Page)"/>
        <w:docPartUnique/>
      </w:docPartObj>
    </w:sdtPr>
    <w:sdtEndPr/>
    <w:sdtContent>
      <w:p w14:paraId="52BAC510" w14:textId="77777777" w:rsidR="00BF5E19" w:rsidRDefault="00BF5E1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D70" w:rsidRPr="00126D70">
          <w:rPr>
            <w:noProof/>
            <w:lang w:val="es-ES"/>
          </w:rPr>
          <w:t>1</w:t>
        </w:r>
        <w:r>
          <w:fldChar w:fldCharType="end"/>
        </w:r>
      </w:p>
    </w:sdtContent>
  </w:sdt>
  <w:p w14:paraId="6226E927" w14:textId="77777777" w:rsidR="00BF5E19" w:rsidRDefault="00BF5E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1F51" w14:textId="77777777" w:rsidR="00105746" w:rsidRDefault="00105746" w:rsidP="00350387">
      <w:pPr>
        <w:spacing w:after="0" w:line="240" w:lineRule="auto"/>
      </w:pPr>
      <w:r>
        <w:separator/>
      </w:r>
    </w:p>
  </w:footnote>
  <w:footnote w:type="continuationSeparator" w:id="0">
    <w:p w14:paraId="0E60AE69" w14:textId="77777777" w:rsidR="00105746" w:rsidRDefault="00105746" w:rsidP="00350387">
      <w:pPr>
        <w:spacing w:after="0" w:line="240" w:lineRule="auto"/>
      </w:pPr>
      <w:r>
        <w:continuationSeparator/>
      </w:r>
    </w:p>
  </w:footnote>
  <w:footnote w:id="1">
    <w:p w14:paraId="6FA73A03" w14:textId="77777777" w:rsidR="00350387" w:rsidRPr="00350387" w:rsidRDefault="00350387" w:rsidP="00350387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 w:rsidRPr="00350387">
        <w:rPr>
          <w:lang w:val="es-MX"/>
        </w:rPr>
        <w:t xml:space="preserve"> </w:t>
      </w:r>
      <w:r w:rsidR="004743C9">
        <w:rPr>
          <w:lang w:val="es-MX"/>
        </w:rPr>
        <w:t>Además de los compromisos internacionales adquiridos en virtud de instrumentos tales como</w:t>
      </w:r>
      <w:r w:rsidR="004743C9" w:rsidRPr="004743C9">
        <w:rPr>
          <w:lang w:val="es-MX"/>
        </w:rPr>
        <w:t xml:space="preserve"> </w:t>
      </w:r>
      <w:r w:rsidR="004743C9">
        <w:rPr>
          <w:lang w:val="es-MX"/>
        </w:rPr>
        <w:t xml:space="preserve">el </w:t>
      </w:r>
      <w:r w:rsidR="004743C9" w:rsidRPr="004743C9">
        <w:rPr>
          <w:lang w:val="es-MX"/>
        </w:rPr>
        <w:t>Pacto Internacional de Derechos Económicos, Sociales y Cultur</w:t>
      </w:r>
      <w:r w:rsidR="004743C9">
        <w:rPr>
          <w:lang w:val="es-MX"/>
        </w:rPr>
        <w:t xml:space="preserve">ales, de 1966 y la </w:t>
      </w:r>
      <w:r w:rsidR="004743C9" w:rsidRPr="004743C9">
        <w:rPr>
          <w:lang w:val="es-MX"/>
        </w:rPr>
        <w:t>Declaració</w:t>
      </w:r>
      <w:r w:rsidR="004743C9">
        <w:rPr>
          <w:lang w:val="es-MX"/>
        </w:rPr>
        <w:t>n Universal de Derechos Humanos</w:t>
      </w:r>
      <w:r w:rsidR="004743C9" w:rsidRPr="004743C9">
        <w:rPr>
          <w:lang w:val="es-MX"/>
        </w:rPr>
        <w:t xml:space="preserve"> de 1948</w:t>
      </w:r>
      <w:r w:rsidR="00126D70">
        <w:rPr>
          <w:lang w:val="es-MX"/>
        </w:rPr>
        <w:t xml:space="preserve">, en Colombia el derecho a la salud ha sido reconocido en el rango de derecho fundamental en </w:t>
      </w:r>
      <w:r>
        <w:rPr>
          <w:lang w:val="es-MX"/>
        </w:rPr>
        <w:t xml:space="preserve">Sentencias </w:t>
      </w:r>
      <w:r w:rsidRPr="00350387">
        <w:rPr>
          <w:lang w:val="es-MX"/>
        </w:rPr>
        <w:t xml:space="preserve">T-760/08, </w:t>
      </w:r>
      <w:r>
        <w:rPr>
          <w:lang w:val="es-MX"/>
        </w:rPr>
        <w:t>T-171/18, T-012/20, T-017/21</w:t>
      </w:r>
      <w:r w:rsidR="00126D70">
        <w:rPr>
          <w:lang w:val="es-MX"/>
        </w:rPr>
        <w:t xml:space="preserve">, T-038/22, entre muchas otras.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274E" w14:textId="77777777" w:rsidR="00126D70" w:rsidRDefault="00126D70">
    <w:pPr>
      <w:pStyle w:val="Encabezado"/>
    </w:pPr>
    <w:r>
      <w:rPr>
        <w:noProof/>
      </w:rPr>
      <w:drawing>
        <wp:inline distT="0" distB="0" distL="0" distR="0" wp14:anchorId="1811392B" wp14:editId="67CAF1B2">
          <wp:extent cx="1428750" cy="438150"/>
          <wp:effectExtent l="0" t="0" r="0" b="0"/>
          <wp:docPr id="8" name="Imagen 8" descr="Nieto &amp; Nieto Lawy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eto &amp; Nieto Lawy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630" cy="442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FE"/>
    <w:rsid w:val="00083FF4"/>
    <w:rsid w:val="00105746"/>
    <w:rsid w:val="00126D70"/>
    <w:rsid w:val="00146F30"/>
    <w:rsid w:val="00350387"/>
    <w:rsid w:val="0042580C"/>
    <w:rsid w:val="004743C9"/>
    <w:rsid w:val="005D1D5D"/>
    <w:rsid w:val="006969A6"/>
    <w:rsid w:val="007D1549"/>
    <w:rsid w:val="007E2BFE"/>
    <w:rsid w:val="00A91B61"/>
    <w:rsid w:val="00B02E66"/>
    <w:rsid w:val="00B566F9"/>
    <w:rsid w:val="00BF5E19"/>
    <w:rsid w:val="00C77BDC"/>
    <w:rsid w:val="00CF7822"/>
    <w:rsid w:val="00D0494D"/>
    <w:rsid w:val="00DD350B"/>
    <w:rsid w:val="00E31997"/>
    <w:rsid w:val="00F33F28"/>
    <w:rsid w:val="00F4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96D6B"/>
  <w15:chartTrackingRefBased/>
  <w15:docId w15:val="{EEACC7EF-0F5D-4AF9-AA26-F23DF4EA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9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503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038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5038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566F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1B6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969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6969A6"/>
  </w:style>
  <w:style w:type="paragraph" w:styleId="Encabezado">
    <w:name w:val="header"/>
    <w:basedOn w:val="Normal"/>
    <w:link w:val="EncabezadoCar"/>
    <w:uiPriority w:val="99"/>
    <w:unhideWhenUsed/>
    <w:rsid w:val="00BF5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E19"/>
  </w:style>
  <w:style w:type="paragraph" w:styleId="Piedepgina">
    <w:name w:val="footer"/>
    <w:basedOn w:val="Normal"/>
    <w:link w:val="PiedepginaCar"/>
    <w:uiPriority w:val="99"/>
    <w:unhideWhenUsed/>
    <w:rsid w:val="00BF5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Inv23</b:Tag>
    <b:SourceType>InternetSite</b:SourceType>
    <b:Guid>{B7142BF4-0A41-4C0A-902B-BEF452F92F1F}</b:Guid>
    <b:Author>
      <b:Author>
        <b:NameList>
          <b:Person>
            <b:Last>Invima</b:Last>
          </b:Person>
        </b:NameList>
      </b:Author>
    </b:Author>
    <b:Title>Invima</b:Title>
    <b:Year>2023</b:Year>
    <b:URL>https://www.invima.gov.co/web/guest/glosario-de-terminos</b:URL>
    <b:RefOrder>1</b:RefOrder>
  </b:Source>
</b:Sources>
</file>

<file path=customXml/itemProps1.xml><?xml version="1.0" encoding="utf-8"?>
<ds:datastoreItem xmlns:ds="http://schemas.openxmlformats.org/officeDocument/2006/customXml" ds:itemID="{FD495726-21BB-4E06-9E46-6DBCC606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Alejandro Gomez Mendoza</dc:creator>
  <cp:keywords/>
  <dc:description/>
  <cp:lastModifiedBy>Andres Nieto</cp:lastModifiedBy>
  <cp:revision>2</cp:revision>
  <dcterms:created xsi:type="dcterms:W3CDTF">2024-01-10T21:24:00Z</dcterms:created>
  <dcterms:modified xsi:type="dcterms:W3CDTF">2024-01-10T21:24:00Z</dcterms:modified>
</cp:coreProperties>
</file>